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0C7B" w:rsidRDefault="00A50C7B" w:rsidP="00A50C7B">
      <w:r>
        <w:rPr>
          <w:noProof/>
        </w:rPr>
        <w:drawing>
          <wp:inline distT="0" distB="0" distL="0" distR="0" wp14:anchorId="2FD34381">
            <wp:extent cx="5060315" cy="2152015"/>
            <wp:effectExtent l="0" t="0" r="6985" b="635"/>
            <wp:docPr id="96055601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315" cy="2152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</w:p>
    <w:p w:rsidR="00A50C7B" w:rsidRPr="00A50C7B" w:rsidRDefault="00A50C7B" w:rsidP="00A50C7B">
      <w:r w:rsidRPr="005F2B54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eastAsia="fr-FR"/>
          <w14:ligatures w14:val="none"/>
        </w:rPr>
        <w:t>Figure 1.</w:t>
      </w:r>
      <w:r w:rsidRPr="005F2B54">
        <w:rPr>
          <w:rFonts w:ascii="Arial" w:eastAsia="Times New Roman" w:hAnsi="Arial" w:cs="Arial"/>
          <w:color w:val="222222"/>
          <w:kern w:val="0"/>
          <w:sz w:val="20"/>
          <w:szCs w:val="20"/>
          <w:lang w:eastAsia="fr-FR"/>
          <w14:ligatures w14:val="none"/>
        </w:rPr>
        <w:t> Apport quotidien en matière sèche dans les troupeaux laitiers commerciaux, kg.</w:t>
      </w:r>
    </w:p>
    <w:p w:rsidR="00A50C7B" w:rsidRPr="00A50C7B" w:rsidRDefault="00A50C7B" w:rsidP="00A50C7B">
      <w:pPr>
        <w:tabs>
          <w:tab w:val="left" w:pos="1308"/>
        </w:tabs>
      </w:pPr>
    </w:p>
    <w:sectPr w:rsidR="00A50C7B" w:rsidRPr="00A50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C7B"/>
    <w:rsid w:val="00394355"/>
    <w:rsid w:val="003C0C28"/>
    <w:rsid w:val="006D4817"/>
    <w:rsid w:val="00A50C7B"/>
    <w:rsid w:val="00C03D1E"/>
    <w:rsid w:val="00EF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E7D3"/>
  <w15:chartTrackingRefBased/>
  <w15:docId w15:val="{33172559-CFBA-4778-A44B-52B3F4A7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79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Abdoulaye</dc:creator>
  <cp:keywords/>
  <dc:description/>
  <cp:lastModifiedBy>Abdoulaye</cp:lastModifiedBy>
  <cp:revision>1</cp:revision>
  <dcterms:created xsi:type="dcterms:W3CDTF">2023-05-26T17:22:00Z</dcterms:created>
  <dcterms:modified xsi:type="dcterms:W3CDTF">2023-05-26T17:23:00Z</dcterms:modified>
</cp:coreProperties>
</file>